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6E2D42">
        <w:rPr>
          <w:rFonts w:ascii="Arial" w:hAnsi="Arial" w:cs="Arial"/>
          <w:b/>
          <w:bCs/>
          <w:snapToGrid w:val="0"/>
          <w:sz w:val="24"/>
        </w:rPr>
        <w:t>101</w:t>
      </w:r>
      <w:r w:rsidR="006E2D42">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6E2D42" w:rsidRPr="006E2D42">
        <w:rPr>
          <w:rFonts w:ascii="Arial" w:hAnsi="Arial" w:cs="Arial"/>
          <w:b/>
          <w:bCs/>
          <w:snapToGrid w:val="0"/>
          <w:sz w:val="24"/>
        </w:rPr>
        <w:t>R1-2003571</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6E2D42" w:rsidRPr="006E2D42">
        <w:rPr>
          <w:rFonts w:ascii="Arial" w:hAnsi="Arial" w:cs="Arial"/>
          <w:b/>
          <w:bCs/>
          <w:snapToGrid w:val="0"/>
          <w:sz w:val="24"/>
          <w:lang w:val="en-GB"/>
        </w:rPr>
        <w:t>May 25</w:t>
      </w:r>
      <w:r w:rsidR="006E2D42" w:rsidRPr="006E2D42">
        <w:rPr>
          <w:rFonts w:ascii="Arial" w:hAnsi="Arial" w:cs="Arial"/>
          <w:b/>
          <w:bCs/>
          <w:snapToGrid w:val="0"/>
          <w:sz w:val="24"/>
          <w:vertAlign w:val="superscript"/>
          <w:lang w:val="en-GB"/>
        </w:rPr>
        <w:t>th</w:t>
      </w:r>
      <w:r w:rsidR="006E2D42">
        <w:rPr>
          <w:rFonts w:ascii="Arial" w:hAnsi="Arial" w:cs="Arial"/>
          <w:b/>
          <w:bCs/>
          <w:snapToGrid w:val="0"/>
          <w:sz w:val="24"/>
          <w:lang w:val="en-GB"/>
        </w:rPr>
        <w:t xml:space="preserve"> </w:t>
      </w:r>
      <w:r w:rsidR="006E2D42" w:rsidRPr="006E2D42">
        <w:rPr>
          <w:rFonts w:ascii="Arial" w:hAnsi="Arial" w:cs="Arial"/>
          <w:b/>
          <w:bCs/>
          <w:snapToGrid w:val="0"/>
          <w:sz w:val="24"/>
          <w:lang w:val="en-GB"/>
        </w:rPr>
        <w:t>– June 5</w:t>
      </w:r>
      <w:r w:rsidR="006E2D42" w:rsidRPr="006E2D42">
        <w:rPr>
          <w:rFonts w:ascii="Arial" w:hAnsi="Arial" w:cs="Arial"/>
          <w:b/>
          <w:bCs/>
          <w:snapToGrid w:val="0"/>
          <w:sz w:val="24"/>
          <w:vertAlign w:val="superscript"/>
          <w:lang w:val="en-GB"/>
        </w:rPr>
        <w:t>th</w:t>
      </w:r>
      <w:r w:rsidR="002046EE"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6E2D42" w:rsidRPr="006E2D42">
        <w:rPr>
          <w:rFonts w:ascii="Arial" w:hAnsi="Arial" w:cs="Arial"/>
          <w:snapToGrid w:val="0"/>
          <w:sz w:val="24"/>
        </w:rPr>
        <w:t>6.2.5.5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6E2D42" w:rsidRPr="006E2D42">
        <w:rPr>
          <w:rFonts w:ascii="Arial" w:hAnsi="Arial" w:cs="Arial"/>
          <w:snapToGrid w:val="0"/>
          <w:sz w:val="24"/>
        </w:rPr>
        <w:t>Discussion on Rel-16 LTE UE features for 5G V2X</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DA59AE"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Introduction</w:t>
      </w:r>
      <w:r w:rsidR="00CA134C" w:rsidRPr="0022441E">
        <w:rPr>
          <w:rFonts w:ascii="Times New Roman" w:eastAsia="SimSun" w:hAnsi="Times New Roman"/>
          <w:b/>
          <w:kern w:val="32"/>
          <w:sz w:val="28"/>
          <w:lang w:val="en-US" w:eastAsia="zh-CN"/>
        </w:rPr>
        <w:t xml:space="preserve"> </w:t>
      </w:r>
    </w:p>
    <w:p w:rsidR="00DA59AE" w:rsidRDefault="00247044" w:rsidP="00DA59AE">
      <w:pPr>
        <w:widowControl/>
        <w:spacing w:after="120"/>
        <w:ind w:firstLine="403"/>
        <w:rPr>
          <w:rFonts w:ascii="Calibri" w:hAnsi="Calibri" w:cs="Calibri"/>
          <w:sz w:val="22"/>
        </w:rPr>
      </w:pPr>
      <w:r>
        <w:rPr>
          <w:rFonts w:ascii="Calibri" w:hAnsi="Calibri" w:cs="Calibri"/>
          <w:sz w:val="22"/>
        </w:rPr>
        <w:t xml:space="preserve">RAN1 </w:t>
      </w:r>
      <w:r w:rsidR="006E70A8">
        <w:rPr>
          <w:rFonts w:ascii="Calibri" w:hAnsi="Calibri" w:cs="Calibri" w:hint="eastAsia"/>
          <w:sz w:val="22"/>
        </w:rPr>
        <w:t>LTE</w:t>
      </w:r>
      <w:r>
        <w:rPr>
          <w:rFonts w:ascii="Calibri" w:hAnsi="Calibri" w:cs="Calibri"/>
          <w:sz w:val="22"/>
        </w:rPr>
        <w:t xml:space="preserve"> Rel-16 UE feature list was </w:t>
      </w:r>
      <w:r w:rsidR="006E70A8">
        <w:rPr>
          <w:rFonts w:ascii="Calibri" w:hAnsi="Calibri" w:cs="Calibri"/>
          <w:sz w:val="22"/>
        </w:rPr>
        <w:t xml:space="preserve">discussed and summarized </w:t>
      </w:r>
      <w:r>
        <w:rPr>
          <w:rFonts w:ascii="Calibri" w:hAnsi="Calibri" w:cs="Calibri"/>
          <w:sz w:val="22"/>
        </w:rPr>
        <w:t>[1], and this contribution provides discussions on the 5G V2X WI part.</w:t>
      </w:r>
    </w:p>
    <w:p w:rsidR="00247044" w:rsidRPr="006E70A8" w:rsidRDefault="00247044" w:rsidP="00DA59AE">
      <w:pPr>
        <w:widowControl/>
        <w:spacing w:after="120"/>
        <w:ind w:firstLine="403"/>
        <w:rPr>
          <w:rFonts w:ascii="Calibri" w:hAnsi="Calibri" w:cs="Calibri"/>
          <w:sz w:val="22"/>
        </w:rPr>
      </w:pPr>
    </w:p>
    <w:p w:rsidR="00247044" w:rsidRPr="0022441E" w:rsidRDefault="00247044" w:rsidP="00247044">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Discussion</w:t>
      </w:r>
    </w:p>
    <w:p w:rsidR="000468BB" w:rsidRDefault="000468BB" w:rsidP="00247044">
      <w:pPr>
        <w:widowControl/>
        <w:spacing w:after="120"/>
        <w:ind w:firstLine="403"/>
        <w:rPr>
          <w:rFonts w:ascii="Calibri" w:hAnsi="Calibri" w:cs="Calibri"/>
          <w:sz w:val="22"/>
        </w:rPr>
      </w:pPr>
      <w:r>
        <w:rPr>
          <w:rFonts w:ascii="Calibri" w:hAnsi="Calibri" w:cs="Calibri" w:hint="eastAsia"/>
          <w:sz w:val="22"/>
        </w:rPr>
        <w:t xml:space="preserve">As many </w:t>
      </w:r>
      <w:r>
        <w:rPr>
          <w:rFonts w:ascii="Calibri" w:hAnsi="Calibri" w:cs="Calibri"/>
          <w:sz w:val="22"/>
        </w:rPr>
        <w:t>of the FGs and their components are the same as those in NR UE feature list, it would be more efficient to discuss LTE UE FGs after stabilizing NR UE FGs first. Some issues specific to the LTE UE FGs are discussed as follows:</w:t>
      </w:r>
    </w:p>
    <w:p w:rsidR="00451B9D" w:rsidRDefault="00451B9D" w:rsidP="002046EE">
      <w:pPr>
        <w:widowControl/>
        <w:spacing w:after="120"/>
        <w:rPr>
          <w:rFonts w:ascii="Calibri" w:hAnsi="Calibri" w:cs="Calibri"/>
          <w:sz w:val="22"/>
        </w:rPr>
      </w:pPr>
    </w:p>
    <w:p w:rsidR="00451B9D" w:rsidRPr="00247044" w:rsidRDefault="00B027E7" w:rsidP="00451B9D">
      <w:pPr>
        <w:widowControl/>
        <w:spacing w:after="120"/>
        <w:rPr>
          <w:rFonts w:ascii="Calibri" w:hAnsi="Calibri" w:cs="Calibri"/>
          <w:b/>
          <w:sz w:val="22"/>
          <w:u w:val="single"/>
        </w:rPr>
      </w:pPr>
      <w:r>
        <w:rPr>
          <w:rFonts w:ascii="Calibri" w:hAnsi="Calibri" w:cs="Calibri"/>
          <w:b/>
          <w:sz w:val="22"/>
          <w:u w:val="single"/>
        </w:rPr>
        <w:t>Basic feature group</w:t>
      </w:r>
    </w:p>
    <w:p w:rsidR="00B027E7" w:rsidRDefault="00B027E7" w:rsidP="00451B9D">
      <w:pPr>
        <w:widowControl/>
        <w:spacing w:after="120"/>
        <w:ind w:firstLine="403"/>
        <w:rPr>
          <w:rFonts w:ascii="Calibri" w:hAnsi="Calibri" w:cs="Calibri"/>
          <w:sz w:val="22"/>
        </w:rPr>
      </w:pPr>
      <w:r>
        <w:rPr>
          <w:rFonts w:ascii="Calibri" w:hAnsi="Calibri" w:cs="Calibri"/>
          <w:sz w:val="22"/>
        </w:rPr>
        <w:t>It is noteworthy that the UEs considered in this discussion are NR UEs that support NR sidelink controlled by LTE eNB. So, if a UE reports a FG included in the list, the eNB knows that the UE supports NR sidelink including those defined as the basic feature group in the NR UE FG list. Therefore, the FGs already agreed as the basic FGs in the NR UE FG list do not need to be defined here again</w:t>
      </w:r>
      <w:r w:rsidR="00AD7278">
        <w:rPr>
          <w:rFonts w:ascii="Calibri" w:hAnsi="Calibri" w:cs="Calibri"/>
          <w:sz w:val="22"/>
        </w:rPr>
        <w:t xml:space="preserve">; it will be just a repetition of the same information. Additional basic FGs in the LTE UE FG list are not necessary as the cross-RAT sidelink control itself cannot be a basic FG for Rel-16 NR sidelink UEs. </w:t>
      </w:r>
    </w:p>
    <w:p w:rsidR="00AD7278" w:rsidRDefault="00AD7278" w:rsidP="00451B9D">
      <w:pPr>
        <w:widowControl/>
        <w:spacing w:after="120"/>
        <w:ind w:firstLine="403"/>
        <w:rPr>
          <w:rFonts w:ascii="Calibri" w:hAnsi="Calibri" w:cs="Calibri"/>
          <w:sz w:val="22"/>
        </w:rPr>
      </w:pPr>
      <w:r w:rsidRPr="00AD7278">
        <w:rPr>
          <w:rFonts w:ascii="Calibri" w:hAnsi="Calibri" w:cs="Calibri"/>
          <w:sz w:val="22"/>
        </w:rPr>
        <w:t>The following FFS point in FG 5-1, 5-2, 5-3, 5-5, 5-12, 5-15</w:t>
      </w:r>
      <w:r>
        <w:rPr>
          <w:rFonts w:ascii="Calibri" w:hAnsi="Calibri" w:cs="Calibri"/>
          <w:sz w:val="22"/>
        </w:rPr>
        <w:t xml:space="preserve"> can be automatically decided based on the conclusion for the corresponding FGs in the NR UE feature list; for example, if RAN1 agrees that mode 1 TX is a basic FG for “</w:t>
      </w:r>
      <w:r w:rsidRPr="00AD7278">
        <w:rPr>
          <w:rFonts w:ascii="Calibri" w:hAnsi="Calibri" w:cs="Calibri"/>
          <w:sz w:val="22"/>
        </w:rPr>
        <w:t>sidel</w:t>
      </w:r>
      <w:r>
        <w:rPr>
          <w:rFonts w:ascii="Calibri" w:hAnsi="Calibri" w:cs="Calibri"/>
          <w:sz w:val="22"/>
        </w:rPr>
        <w:t>ink in licensed spectrum where g</w:t>
      </w:r>
      <w:r w:rsidRPr="00AD7278">
        <w:rPr>
          <w:rFonts w:ascii="Calibri" w:hAnsi="Calibri" w:cs="Calibri"/>
          <w:sz w:val="22"/>
        </w:rPr>
        <w:t>NB is operating on or managing that spectrum</w:t>
      </w:r>
      <w:r>
        <w:rPr>
          <w:rFonts w:ascii="Calibri" w:hAnsi="Calibri" w:cs="Calibri"/>
          <w:sz w:val="22"/>
        </w:rPr>
        <w:t xml:space="preserve">,” FG 5-1 will be a basic FG for </w:t>
      </w:r>
      <w:r w:rsidRPr="00AD7278">
        <w:rPr>
          <w:rFonts w:ascii="Calibri" w:hAnsi="Calibri" w:cs="Calibri"/>
          <w:sz w:val="22"/>
        </w:rPr>
        <w:t xml:space="preserve">sidelink in licensed spectrum where </w:t>
      </w:r>
      <w:r>
        <w:rPr>
          <w:rFonts w:ascii="Calibri" w:hAnsi="Calibri" w:cs="Calibri"/>
          <w:sz w:val="22"/>
        </w:rPr>
        <w:t>e</w:t>
      </w:r>
      <w:r w:rsidRPr="00AD7278">
        <w:rPr>
          <w:rFonts w:ascii="Calibri" w:hAnsi="Calibri" w:cs="Calibri"/>
          <w:sz w:val="22"/>
        </w:rPr>
        <w:t>NB is operating on or managing that spectrum</w:t>
      </w:r>
      <w:r>
        <w:rPr>
          <w:rFonts w:ascii="Calibri" w:hAnsi="Calibri" w:cs="Calibri"/>
          <w:sz w:val="22"/>
        </w:rPr>
        <w:t>.</w:t>
      </w:r>
      <w:r w:rsidRPr="00AD7278">
        <w:rPr>
          <w:rFonts w:ascii="Calibri" w:hAnsi="Calibri" w:cs="Calibri"/>
          <w:sz w:val="22"/>
        </w:rPr>
        <w:t>”</w:t>
      </w:r>
    </w:p>
    <w:p w:rsidR="00AD7278" w:rsidRDefault="00AD7278" w:rsidP="00451B9D">
      <w:pPr>
        <w:widowControl/>
        <w:spacing w:after="120"/>
        <w:ind w:firstLine="403"/>
        <w:rPr>
          <w:rFonts w:ascii="Calibri" w:hAnsi="Calibri" w:cs="Calibri"/>
          <w:sz w:val="22"/>
        </w:rPr>
      </w:pPr>
      <w:r w:rsidRPr="00AD7278">
        <w:rPr>
          <w:rFonts w:ascii="Calibri" w:hAnsi="Calibri" w:cs="Calibri"/>
          <w:sz w:val="22"/>
          <w:highlight w:val="yellow"/>
        </w:rPr>
        <w:t>FFS: This is the basic FG for sidelink in licensed spectrum where eNB is operating on or managing that spectrum and optional FG otherwise</w:t>
      </w:r>
    </w:p>
    <w:p w:rsidR="007D6243" w:rsidRPr="00AD7278" w:rsidRDefault="007D6243" w:rsidP="007D6243">
      <w:pPr>
        <w:widowControl/>
        <w:spacing w:after="120"/>
        <w:rPr>
          <w:rFonts w:ascii="Calibri" w:hAnsi="Calibri" w:cs="Calibri"/>
          <w:b/>
          <w:sz w:val="22"/>
        </w:rPr>
      </w:pPr>
      <w:r w:rsidRPr="00AD7278">
        <w:rPr>
          <w:rFonts w:ascii="Calibri" w:hAnsi="Calibri" w:cs="Calibri" w:hint="eastAsia"/>
          <w:b/>
          <w:sz w:val="22"/>
        </w:rPr>
        <w:t xml:space="preserve">Proposal </w:t>
      </w:r>
      <w:r>
        <w:rPr>
          <w:rFonts w:ascii="Calibri" w:hAnsi="Calibri" w:cs="Calibri"/>
          <w:b/>
          <w:sz w:val="22"/>
        </w:rPr>
        <w:t>1</w:t>
      </w:r>
      <w:r w:rsidRPr="00AD7278">
        <w:rPr>
          <w:rFonts w:ascii="Calibri" w:hAnsi="Calibri" w:cs="Calibri" w:hint="eastAsia"/>
          <w:b/>
          <w:sz w:val="22"/>
        </w:rPr>
        <w:t xml:space="preserve">: </w:t>
      </w:r>
      <w:r w:rsidR="002C4B17">
        <w:rPr>
          <w:rFonts w:ascii="Calibri" w:hAnsi="Calibri" w:cs="Calibri" w:hint="eastAsia"/>
          <w:b/>
          <w:sz w:val="22"/>
        </w:rPr>
        <w:t>The basic FGs defined in the NR UE feature list do not need to be repeated in the LTE UE feature list.</w:t>
      </w:r>
    </w:p>
    <w:p w:rsidR="007D6243" w:rsidRDefault="007D6243" w:rsidP="007D6243">
      <w:pPr>
        <w:widowControl/>
        <w:spacing w:after="120"/>
        <w:rPr>
          <w:rFonts w:ascii="Calibri" w:hAnsi="Calibri" w:cs="Calibri"/>
          <w:sz w:val="22"/>
        </w:rPr>
      </w:pPr>
    </w:p>
    <w:p w:rsidR="00AD7278" w:rsidRPr="00247044" w:rsidRDefault="007D6243" w:rsidP="00AD7278">
      <w:pPr>
        <w:widowControl/>
        <w:spacing w:after="120"/>
        <w:rPr>
          <w:rFonts w:ascii="Calibri" w:hAnsi="Calibri" w:cs="Calibri"/>
          <w:b/>
          <w:sz w:val="22"/>
          <w:u w:val="single"/>
        </w:rPr>
      </w:pPr>
      <w:r>
        <w:rPr>
          <w:rFonts w:ascii="Calibri" w:hAnsi="Calibri" w:cs="Calibri"/>
          <w:b/>
          <w:sz w:val="22"/>
          <w:u w:val="single"/>
        </w:rPr>
        <w:t>FG 5-10 (</w:t>
      </w:r>
      <w:r w:rsidRPr="007D6243">
        <w:rPr>
          <w:rFonts w:ascii="Calibri" w:hAnsi="Calibri" w:cs="Calibri"/>
          <w:b/>
          <w:sz w:val="22"/>
          <w:u w:val="single"/>
        </w:rPr>
        <w:t>eNB type synchronization source for NR sidelink</w:t>
      </w:r>
      <w:r>
        <w:rPr>
          <w:rFonts w:ascii="Calibri" w:hAnsi="Calibri" w:cs="Calibri"/>
          <w:b/>
          <w:sz w:val="22"/>
          <w:u w:val="single"/>
        </w:rPr>
        <w:t>)</w:t>
      </w:r>
    </w:p>
    <w:p w:rsidR="007D6243" w:rsidRDefault="007D6243" w:rsidP="00AD7278">
      <w:pPr>
        <w:widowControl/>
        <w:spacing w:after="120"/>
        <w:ind w:firstLine="403"/>
        <w:rPr>
          <w:rFonts w:ascii="Calibri" w:hAnsi="Calibri" w:cs="Calibri"/>
          <w:sz w:val="22"/>
        </w:rPr>
      </w:pPr>
      <w:r>
        <w:rPr>
          <w:rFonts w:ascii="Calibri" w:hAnsi="Calibri" w:cs="Calibri"/>
          <w:sz w:val="22"/>
        </w:rPr>
        <w:t>As gNB based synchronization is the basic FG in Rel-16 NR sidelink and a UE indicating at least one FG in this list supports LTE Uu, it seems possible to make FG 5-10 as the prerequisite of FG 5-1 and 5-2. In other words, a UE supporting NR sidelink controlled by LTE Uu always supports the eNB based synchronization (in addition to other synchronization included as the basic FG in the NR UE FG list).</w:t>
      </w:r>
    </w:p>
    <w:p w:rsidR="00AD7278" w:rsidRPr="00AD7278" w:rsidRDefault="00AD7278" w:rsidP="00AD7278">
      <w:pPr>
        <w:widowControl/>
        <w:spacing w:after="120"/>
        <w:rPr>
          <w:rFonts w:ascii="Calibri" w:hAnsi="Calibri" w:cs="Calibri"/>
          <w:b/>
          <w:sz w:val="22"/>
        </w:rPr>
      </w:pPr>
      <w:r w:rsidRPr="00AD7278">
        <w:rPr>
          <w:rFonts w:ascii="Calibri" w:hAnsi="Calibri" w:cs="Calibri" w:hint="eastAsia"/>
          <w:b/>
          <w:sz w:val="22"/>
        </w:rPr>
        <w:t xml:space="preserve">Proposal </w:t>
      </w:r>
      <w:r w:rsidR="007D6243">
        <w:rPr>
          <w:rFonts w:ascii="Calibri" w:hAnsi="Calibri" w:cs="Calibri"/>
          <w:b/>
          <w:sz w:val="22"/>
        </w:rPr>
        <w:t>2</w:t>
      </w:r>
      <w:r w:rsidRPr="00AD7278">
        <w:rPr>
          <w:rFonts w:ascii="Calibri" w:hAnsi="Calibri" w:cs="Calibri" w:hint="eastAsia"/>
          <w:b/>
          <w:sz w:val="22"/>
        </w:rPr>
        <w:t xml:space="preserve">: </w:t>
      </w:r>
      <w:r w:rsidR="002C4B17">
        <w:rPr>
          <w:rFonts w:ascii="Calibri" w:hAnsi="Calibri" w:cs="Calibri"/>
          <w:b/>
          <w:sz w:val="22"/>
        </w:rPr>
        <w:t>FG 5-10 is a prerequisite of other FGs.</w:t>
      </w:r>
    </w:p>
    <w:p w:rsidR="00AD7278" w:rsidRDefault="00AD7278" w:rsidP="002046EE">
      <w:pPr>
        <w:widowControl/>
        <w:spacing w:after="120"/>
        <w:rPr>
          <w:rFonts w:ascii="Calibri" w:hAnsi="Calibri" w:cs="Calibri"/>
          <w:sz w:val="22"/>
        </w:rPr>
      </w:pPr>
    </w:p>
    <w:p w:rsidR="000A7F82" w:rsidRPr="0022441E" w:rsidRDefault="000A7F82" w:rsidP="000A7F8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lastRenderedPageBreak/>
        <w:t>Conclusions</w:t>
      </w:r>
    </w:p>
    <w:p w:rsidR="000A7F82" w:rsidRDefault="0041049F" w:rsidP="0041049F">
      <w:pPr>
        <w:widowControl/>
        <w:spacing w:after="120"/>
        <w:ind w:firstLine="403"/>
        <w:rPr>
          <w:rFonts w:ascii="Calibri" w:hAnsi="Calibri" w:cs="Calibri"/>
          <w:sz w:val="22"/>
        </w:rPr>
      </w:pPr>
      <w:r>
        <w:rPr>
          <w:rFonts w:ascii="Calibri" w:hAnsi="Calibri" w:cs="Calibri" w:hint="eastAsia"/>
          <w:sz w:val="22"/>
        </w:rPr>
        <w:t xml:space="preserve">This </w:t>
      </w:r>
      <w:r>
        <w:rPr>
          <w:rFonts w:ascii="Calibri" w:hAnsi="Calibri" w:cs="Calibri"/>
          <w:sz w:val="22"/>
        </w:rPr>
        <w:t>contribution</w:t>
      </w:r>
      <w:r>
        <w:rPr>
          <w:rFonts w:ascii="Calibri" w:hAnsi="Calibri" w:cs="Calibri" w:hint="eastAsia"/>
          <w:sz w:val="22"/>
        </w:rPr>
        <w:t xml:space="preserve"> </w:t>
      </w:r>
      <w:r>
        <w:rPr>
          <w:rFonts w:ascii="Calibri" w:hAnsi="Calibri" w:cs="Calibri"/>
          <w:sz w:val="22"/>
        </w:rPr>
        <w:t xml:space="preserve">discussed the remaining issues in the V2X part of RAN1 </w:t>
      </w:r>
      <w:r w:rsidR="00C20CBF">
        <w:rPr>
          <w:rFonts w:ascii="Calibri" w:hAnsi="Calibri" w:cs="Calibri"/>
          <w:sz w:val="22"/>
        </w:rPr>
        <w:t>LTE</w:t>
      </w:r>
      <w:r>
        <w:rPr>
          <w:rFonts w:ascii="Calibri" w:hAnsi="Calibri" w:cs="Calibri"/>
          <w:sz w:val="22"/>
        </w:rPr>
        <w:t xml:space="preserve"> UE feature list. The following proposals were made based on the discussion:</w:t>
      </w:r>
    </w:p>
    <w:p w:rsidR="002C4B17" w:rsidRPr="00AD7278" w:rsidRDefault="002C4B17" w:rsidP="002C4B17">
      <w:pPr>
        <w:widowControl/>
        <w:spacing w:after="120"/>
        <w:rPr>
          <w:rFonts w:ascii="Calibri" w:hAnsi="Calibri" w:cs="Calibri"/>
          <w:b/>
          <w:sz w:val="22"/>
        </w:rPr>
      </w:pPr>
      <w:r w:rsidRPr="00AD7278">
        <w:rPr>
          <w:rFonts w:ascii="Calibri" w:hAnsi="Calibri" w:cs="Calibri" w:hint="eastAsia"/>
          <w:b/>
          <w:sz w:val="22"/>
        </w:rPr>
        <w:t xml:space="preserve">Proposal </w:t>
      </w:r>
      <w:r>
        <w:rPr>
          <w:rFonts w:ascii="Calibri" w:hAnsi="Calibri" w:cs="Calibri"/>
          <w:b/>
          <w:sz w:val="22"/>
        </w:rPr>
        <w:t>1</w:t>
      </w:r>
      <w:r w:rsidRPr="00AD7278">
        <w:rPr>
          <w:rFonts w:ascii="Calibri" w:hAnsi="Calibri" w:cs="Calibri" w:hint="eastAsia"/>
          <w:b/>
          <w:sz w:val="22"/>
        </w:rPr>
        <w:t xml:space="preserve">: </w:t>
      </w:r>
      <w:r>
        <w:rPr>
          <w:rFonts w:ascii="Calibri" w:hAnsi="Calibri" w:cs="Calibri" w:hint="eastAsia"/>
          <w:b/>
          <w:sz w:val="22"/>
        </w:rPr>
        <w:t>The basic FGs defined in the NR UE feature list do not need to be repeated in the LTE UE feature list.</w:t>
      </w:r>
    </w:p>
    <w:p w:rsidR="002C4B17" w:rsidRPr="00AD7278" w:rsidRDefault="002C4B17" w:rsidP="002C4B17">
      <w:pPr>
        <w:widowControl/>
        <w:spacing w:after="120"/>
        <w:rPr>
          <w:rFonts w:ascii="Calibri" w:hAnsi="Calibri" w:cs="Calibri"/>
          <w:b/>
          <w:sz w:val="22"/>
        </w:rPr>
      </w:pPr>
      <w:r w:rsidRPr="00AD7278">
        <w:rPr>
          <w:rFonts w:ascii="Calibri" w:hAnsi="Calibri" w:cs="Calibri" w:hint="eastAsia"/>
          <w:b/>
          <w:sz w:val="22"/>
        </w:rPr>
        <w:t xml:space="preserve">Proposal </w:t>
      </w:r>
      <w:r>
        <w:rPr>
          <w:rFonts w:ascii="Calibri" w:hAnsi="Calibri" w:cs="Calibri"/>
          <w:b/>
          <w:sz w:val="22"/>
        </w:rPr>
        <w:t>2</w:t>
      </w:r>
      <w:r w:rsidRPr="00AD7278">
        <w:rPr>
          <w:rFonts w:ascii="Calibri" w:hAnsi="Calibri" w:cs="Calibri" w:hint="eastAsia"/>
          <w:b/>
          <w:sz w:val="22"/>
        </w:rPr>
        <w:t xml:space="preserve">: </w:t>
      </w:r>
      <w:r>
        <w:rPr>
          <w:rFonts w:ascii="Calibri" w:hAnsi="Calibri" w:cs="Calibri"/>
          <w:b/>
          <w:sz w:val="22"/>
        </w:rPr>
        <w:t>FG 5-10 is a prerequisite of other FGs.</w:t>
      </w:r>
    </w:p>
    <w:p w:rsidR="002C4B17" w:rsidRDefault="002C4B17" w:rsidP="002046EE">
      <w:pPr>
        <w:widowControl/>
        <w:spacing w:after="120"/>
        <w:rPr>
          <w:rFonts w:ascii="Calibri" w:hAnsi="Calibri" w:cs="Calibri" w:hint="eastAsia"/>
          <w:sz w:val="22"/>
        </w:rPr>
      </w:pPr>
      <w:bookmarkStart w:id="2" w:name="_GoBack"/>
      <w:bookmarkEnd w:id="2"/>
    </w:p>
    <w:p w:rsidR="002046EE" w:rsidRPr="0022441E" w:rsidRDefault="002046EE" w:rsidP="002046EE">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w:t>
      </w:r>
      <w:r w:rsidR="00974DF4">
        <w:rPr>
          <w:rFonts w:ascii="Times New Roman" w:eastAsia="SimSun" w:hAnsi="Times New Roman"/>
          <w:b/>
          <w:kern w:val="32"/>
          <w:sz w:val="28"/>
          <w:lang w:val="en-US" w:eastAsia="zh-CN"/>
        </w:rPr>
        <w:t>s</w:t>
      </w:r>
      <w:r w:rsidRPr="0022441E">
        <w:rPr>
          <w:rFonts w:ascii="Times New Roman" w:eastAsia="SimSun" w:hAnsi="Times New Roman"/>
          <w:b/>
          <w:kern w:val="32"/>
          <w:sz w:val="28"/>
          <w:lang w:val="en-US" w:eastAsia="zh-CN"/>
        </w:rPr>
        <w:t xml:space="preserve"> </w:t>
      </w:r>
    </w:p>
    <w:p w:rsidR="002046EE" w:rsidRDefault="002046EE" w:rsidP="002046EE">
      <w:pPr>
        <w:widowControl/>
        <w:spacing w:after="120"/>
        <w:rPr>
          <w:rFonts w:ascii="Calibri" w:hAnsi="Calibri" w:cs="Calibri"/>
          <w:sz w:val="22"/>
        </w:rPr>
      </w:pPr>
      <w:r>
        <w:rPr>
          <w:rFonts w:ascii="Calibri" w:hAnsi="Calibri" w:cs="Calibri" w:hint="eastAsia"/>
          <w:sz w:val="22"/>
        </w:rPr>
        <w:t xml:space="preserve">[1] </w:t>
      </w:r>
      <w:r w:rsidR="006E70A8" w:rsidRPr="006E70A8">
        <w:rPr>
          <w:rFonts w:ascii="Calibri" w:hAnsi="Calibri" w:cs="Calibri"/>
          <w:sz w:val="22"/>
        </w:rPr>
        <w:t>R1-2003196</w:t>
      </w:r>
      <w:r w:rsidR="006E70A8">
        <w:rPr>
          <w:rFonts w:ascii="Calibri" w:hAnsi="Calibri" w:cs="Calibri"/>
          <w:sz w:val="22"/>
        </w:rPr>
        <w:t>, “</w:t>
      </w:r>
      <w:r w:rsidR="006E70A8" w:rsidRPr="006E70A8">
        <w:rPr>
          <w:rFonts w:ascii="Calibri" w:hAnsi="Calibri" w:cs="Calibri"/>
          <w:sz w:val="22"/>
        </w:rPr>
        <w:t>Summary on email discussion [</w:t>
      </w:r>
      <w:r w:rsidR="006E70A8">
        <w:rPr>
          <w:rFonts w:ascii="Calibri" w:hAnsi="Calibri" w:cs="Calibri"/>
          <w:sz w:val="22"/>
        </w:rPr>
        <w:t xml:space="preserve">100b-e-LTE-UEFeatures-Remaining,” </w:t>
      </w:r>
      <w:r w:rsidR="006E70A8" w:rsidRPr="006E70A8">
        <w:rPr>
          <w:rFonts w:ascii="Calibri" w:hAnsi="Calibri" w:cs="Calibri"/>
          <w:sz w:val="22"/>
        </w:rPr>
        <w:t>Moderators (AT&amp;T, NTT DOCOMO, INC.)</w:t>
      </w:r>
    </w:p>
    <w:sectPr w:rsidR="002046E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027" w:rsidRDefault="001D6027">
      <w:r>
        <w:separator/>
      </w:r>
    </w:p>
  </w:endnote>
  <w:endnote w:type="continuationSeparator" w:id="0">
    <w:p w:rsidR="001D6027" w:rsidRDefault="001D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C4B17">
      <w:rPr>
        <w:rStyle w:val="a8"/>
        <w:noProof/>
      </w:rPr>
      <w:t>2</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027" w:rsidRDefault="001D6027">
      <w:r>
        <w:separator/>
      </w:r>
    </w:p>
  </w:footnote>
  <w:footnote w:type="continuationSeparator" w:id="0">
    <w:p w:rsidR="001D6027" w:rsidRDefault="001D60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art1695"/>
      </v:shape>
    </w:pict>
  </w:numPicBullet>
  <w:numPicBullet w:numPicBulletId="1">
    <w:pict>
      <v:shape id="_x0000_i1029" type="#_x0000_t75" style="width:9.75pt;height:9.75pt" o:bullet="t">
        <v:imagedata r:id="rId2" o:title="art174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15:restartNumberingAfterBreak="0">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15:restartNumberingAfterBreak="0">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15:restartNumberingAfterBreak="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15:restartNumberingAfterBreak="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7"/>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 w:numId="48">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24A6C-3F1C-47A9-BAE5-6C95BF1FB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440</Words>
  <Characters>2514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25</cp:revision>
  <cp:lastPrinted>2014-01-26T05:26:00Z</cp:lastPrinted>
  <dcterms:created xsi:type="dcterms:W3CDTF">2020-02-17T08:04:00Z</dcterms:created>
  <dcterms:modified xsi:type="dcterms:W3CDTF">2020-05-15T04:36:00Z</dcterms:modified>
</cp:coreProperties>
</file>